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1" w:rsidRDefault="005F0CD1" w:rsidP="005F0CD1">
      <w:pPr>
        <w:spacing w:line="360" w:lineRule="auto"/>
        <w:jc w:val="center"/>
      </w:pPr>
      <w:r>
        <w:rPr>
          <w:rFonts w:ascii="新細明體" w:eastAsia="新細明體" w:hAnsi="新細明體" w:cs="新細明體"/>
          <w:b/>
          <w:sz w:val="30"/>
        </w:rPr>
        <w:t>論文</w:t>
      </w:r>
      <w:r>
        <w:rPr>
          <w:rFonts w:ascii="新細明體" w:eastAsia="新細明體" w:hAnsi="新細明體" w:cs="新細明體" w:hint="eastAsia"/>
          <w:b/>
          <w:sz w:val="30"/>
        </w:rPr>
        <w:t>參考</w:t>
      </w:r>
      <w:r>
        <w:rPr>
          <w:rFonts w:ascii="新細明體" w:eastAsia="新細明體" w:hAnsi="新細明體" w:cs="新細明體"/>
          <w:b/>
          <w:sz w:val="30"/>
        </w:rPr>
        <w:t>格式</w:t>
      </w:r>
      <w:bookmarkStart w:id="0" w:name="_GoBack"/>
      <w:bookmarkEnd w:id="0"/>
    </w:p>
    <w:p w:rsidR="005F0CD1" w:rsidRDefault="005F0CD1" w:rsidP="005F0CD1">
      <w:pPr>
        <w:spacing w:line="360" w:lineRule="auto"/>
      </w:pPr>
      <w:r>
        <w:rPr>
          <w:rFonts w:ascii="新細明體" w:eastAsia="新細明體" w:hAnsi="新細明體" w:cs="新細明體"/>
        </w:rPr>
        <w:t>一、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proofErr w:type="gramStart"/>
      <w:r>
        <w:rPr>
          <w:rFonts w:ascii="新細明體" w:eastAsia="新細明體" w:hAnsi="新細明體" w:cs="新細明體" w:hint="eastAsia"/>
        </w:rPr>
        <w:t>採</w:t>
      </w:r>
      <w:proofErr w:type="gramEnd"/>
      <w:r>
        <w:rPr>
          <w:rFonts w:ascii="新細明體" w:eastAsia="新細明體" w:hAnsi="新細明體" w:cs="新細明體" w:hint="eastAsia"/>
        </w:rPr>
        <w:t>學術論文規格（含摘要</w:t>
      </w:r>
      <w:r>
        <w:rPr>
          <w:rFonts w:ascii="新細明體" w:eastAsia="新細明體" w:hAnsi="新細明體" w:cs="新細明體"/>
        </w:rPr>
        <w:t>250</w:t>
      </w:r>
      <w:r>
        <w:rPr>
          <w:rFonts w:ascii="新細明體" w:eastAsia="新細明體" w:hAnsi="新細明體" w:cs="新細明體" w:hint="eastAsia"/>
        </w:rPr>
        <w:t>字）。</w:t>
      </w:r>
    </w:p>
    <w:p w:rsidR="005F0CD1" w:rsidRDefault="005F0CD1" w:rsidP="005F0CD1">
      <w:pPr>
        <w:spacing w:line="360" w:lineRule="auto"/>
      </w:pPr>
      <w:r>
        <w:rPr>
          <w:rFonts w:ascii="新細明體" w:eastAsia="新細明體" w:hAnsi="新細明體" w:cs="新細明體"/>
        </w:rPr>
        <w:t>二、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新細明體" w:eastAsia="新細明體" w:hAnsi="新細明體" w:cs="新細明體" w:hint="eastAsia"/>
        </w:rPr>
        <w:t>長寬規格與裝訂方式：論文（包括封面與內文）長寬標準為</w:t>
      </w:r>
      <w:r>
        <w:rPr>
          <w:rFonts w:ascii="新細明體" w:eastAsia="新細明體" w:hAnsi="新細明體" w:cs="新細明體"/>
        </w:rPr>
        <w:t xml:space="preserve"> A4 </w:t>
      </w:r>
      <w:r>
        <w:rPr>
          <w:rFonts w:ascii="新細明體" w:eastAsia="新細明體" w:hAnsi="新細明體" w:cs="新細明體" w:hint="eastAsia"/>
        </w:rPr>
        <w:t>規格。全文應以電腦打字撰寫，裝訂則應以釘書針裝訂，不得使用封膠、穿孔活頁或其他方式，違反規定者應予扣分。</w:t>
      </w:r>
    </w:p>
    <w:p w:rsidR="005F0CD1" w:rsidRDefault="005F0CD1" w:rsidP="005F0CD1">
      <w:pPr>
        <w:spacing w:line="360" w:lineRule="auto"/>
      </w:pPr>
      <w:r>
        <w:rPr>
          <w:rFonts w:ascii="新細明體" w:eastAsia="新細明體" w:hAnsi="新細明體" w:cs="新細明體"/>
        </w:rPr>
        <w:t>三、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新細明體" w:eastAsia="新細明體" w:hAnsi="新細明體" w:cs="新細明體" w:hint="eastAsia"/>
        </w:rPr>
        <w:t>論文字型、字體大小與排版：書狀之字型、字體大小與排版格式如下，違反規定者應予扣分。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proofErr w:type="gramStart"/>
      <w:r>
        <w:rPr>
          <w:rFonts w:ascii="細明體" w:eastAsia="細明體" w:hAnsi="細明體" w:cs="細明體" w:hint="eastAsia"/>
        </w:rPr>
        <w:t>一</w:t>
      </w:r>
      <w:proofErr w:type="gramEnd"/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紙張大小：</w:t>
      </w:r>
      <w:r>
        <w:rPr>
          <w:rFonts w:ascii="新細明體" w:eastAsia="新細明體" w:hAnsi="新細明體" w:cs="新細明體"/>
        </w:rPr>
        <w:t xml:space="preserve"> A4</w:t>
      </w:r>
      <w:r>
        <w:rPr>
          <w:rFonts w:ascii="新細明體" w:eastAsia="新細明體" w:hAnsi="新細明體" w:cs="新細明體" w:hint="eastAsia"/>
        </w:rPr>
        <w:t>（</w:t>
      </w:r>
      <w:r>
        <w:rPr>
          <w:rFonts w:ascii="新細明體" w:eastAsia="新細明體" w:hAnsi="新細明體" w:cs="新細明體"/>
        </w:rPr>
        <w:t xml:space="preserve">21×29.7 </w:t>
      </w:r>
      <w:r>
        <w:rPr>
          <w:rFonts w:ascii="新細明體" w:eastAsia="新細明體" w:hAnsi="新細明體" w:cs="新細明體" w:hint="eastAsia"/>
        </w:rPr>
        <w:t>公分），縱向，上下左右邊界為</w:t>
      </w:r>
      <w:r>
        <w:rPr>
          <w:rFonts w:ascii="新細明體" w:eastAsia="新細明體" w:hAnsi="新細明體" w:cs="新細明體"/>
        </w:rPr>
        <w:t xml:space="preserve"> 70 </w:t>
      </w:r>
      <w:proofErr w:type="spellStart"/>
      <w:r>
        <w:rPr>
          <w:rFonts w:ascii="新細明體" w:eastAsia="新細明體" w:hAnsi="新細明體" w:cs="新細明體"/>
        </w:rPr>
        <w:t>pt</w:t>
      </w:r>
      <w:proofErr w:type="spellEnd"/>
      <w:r>
        <w:rPr>
          <w:rFonts w:ascii="新細明體" w:eastAsia="新細明體" w:hAnsi="新細明體" w:cs="新細明體" w:hint="eastAsia"/>
        </w:rPr>
        <w:t>，頁首、頁尾</w:t>
      </w:r>
      <w:proofErr w:type="gramStart"/>
      <w:r>
        <w:rPr>
          <w:rFonts w:ascii="新細明體" w:eastAsia="新細明體" w:hAnsi="新細明體" w:cs="新細明體" w:hint="eastAsia"/>
        </w:rPr>
        <w:t>與頁緣距離</w:t>
      </w:r>
      <w:proofErr w:type="gramEnd"/>
      <w:r>
        <w:rPr>
          <w:rFonts w:ascii="新細明體" w:eastAsia="新細明體" w:hAnsi="新細明體" w:cs="新細明體" w:hint="eastAsia"/>
        </w:rPr>
        <w:t>為</w:t>
      </w:r>
      <w:r>
        <w:rPr>
          <w:rFonts w:ascii="新細明體" w:eastAsia="新細明體" w:hAnsi="新細明體" w:cs="新細明體"/>
        </w:rPr>
        <w:t xml:space="preserve"> 35 </w:t>
      </w:r>
      <w:proofErr w:type="spellStart"/>
      <w:r>
        <w:rPr>
          <w:rFonts w:ascii="新細明體" w:eastAsia="新細明體" w:hAnsi="新細明體" w:cs="新細明體"/>
        </w:rPr>
        <w:t>pt</w:t>
      </w:r>
      <w:proofErr w:type="spellEnd"/>
      <w:r>
        <w:rPr>
          <w:rFonts w:ascii="新細明體" w:eastAsia="新細明體" w:hAnsi="新細明體" w:cs="新細明體" w:hint="eastAsia"/>
        </w:rPr>
        <w:t>，裝訂邊為</w:t>
      </w:r>
      <w:r>
        <w:rPr>
          <w:rFonts w:ascii="新細明體" w:eastAsia="新細明體" w:hAnsi="新細明體" w:cs="新細明體"/>
        </w:rPr>
        <w:t xml:space="preserve"> 20 </w:t>
      </w:r>
      <w:proofErr w:type="spellStart"/>
      <w:r>
        <w:rPr>
          <w:rFonts w:ascii="新細明體" w:eastAsia="新細明體" w:hAnsi="新細明體" w:cs="新細明體"/>
        </w:rPr>
        <w:t>pt</w:t>
      </w:r>
      <w:proofErr w:type="spellEnd"/>
      <w:r>
        <w:rPr>
          <w:rFonts w:ascii="新細明體" w:eastAsia="新細明體" w:hAnsi="新細明體" w:cs="新細明體" w:hint="eastAsia"/>
        </w:rPr>
        <w:t>，裝訂位置靠左。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二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字</w:t>
      </w:r>
      <w:r>
        <w:rPr>
          <w:rFonts w:ascii="新細明體" w:eastAsia="新細明體" w:hAnsi="新細明體" w:cs="新細明體"/>
        </w:rPr>
        <w:t xml:space="preserve">    </w:t>
      </w:r>
      <w:r>
        <w:rPr>
          <w:rFonts w:ascii="新細明體" w:eastAsia="新細明體" w:hAnsi="新細明體" w:cs="新細明體" w:hint="eastAsia"/>
        </w:rPr>
        <w:t>型：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中文字型為標楷體，英文字型為</w:t>
      </w:r>
      <w:r>
        <w:rPr>
          <w:rFonts w:ascii="新細明體" w:eastAsia="新細明體" w:hAnsi="新細明體" w:cs="新細明體"/>
        </w:rPr>
        <w:t xml:space="preserve"> Times New Roman</w:t>
      </w:r>
      <w:r>
        <w:rPr>
          <w:rFonts w:ascii="新細明體" w:eastAsia="新細明體" w:hAnsi="新細明體" w:cs="新細明體" w:hint="eastAsia"/>
        </w:rPr>
        <w:t>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三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字體大小：求體例一致，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封面標題為「</w:t>
      </w:r>
      <w:r>
        <w:rPr>
          <w:rFonts w:ascii="新細明體" w:eastAsia="新細明體" w:hAnsi="新細明體" w:cs="新細明體"/>
        </w:rPr>
        <w:t>26</w:t>
      </w:r>
      <w:r>
        <w:rPr>
          <w:rFonts w:ascii="新細明體" w:eastAsia="新細明體" w:hAnsi="新細明體" w:cs="新細明體" w:hint="eastAsia"/>
        </w:rPr>
        <w:t>」；稿件內文之章節款項，請按「壹、一、（一）、</w:t>
      </w:r>
      <w:r>
        <w:rPr>
          <w:rFonts w:ascii="新細明體" w:eastAsia="新細明體" w:hAnsi="新細明體" w:cs="新細明體"/>
        </w:rPr>
        <w:t>1.</w:t>
      </w:r>
      <w:r>
        <w:rPr>
          <w:rFonts w:ascii="新細明體" w:eastAsia="新細明體" w:hAnsi="新細明體" w:cs="新細明體" w:hint="eastAsia"/>
        </w:rPr>
        <w:t>、（</w:t>
      </w:r>
      <w:r>
        <w:rPr>
          <w:rFonts w:ascii="新細明體" w:eastAsia="新細明體" w:hAnsi="新細明體" w:cs="新細明體"/>
        </w:rPr>
        <w:t>1</w:t>
      </w:r>
      <w:r>
        <w:rPr>
          <w:rFonts w:ascii="新細明體" w:eastAsia="新細明體" w:hAnsi="新細明體" w:cs="新細明體" w:hint="eastAsia"/>
        </w:rPr>
        <w:t>）、</w:t>
      </w:r>
      <w:r>
        <w:rPr>
          <w:rFonts w:ascii="MS Gothic" w:eastAsia="MS Gothic" w:hAnsi="MS Gothic" w:cs="MS Gothic"/>
        </w:rPr>
        <w:t>①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、甲、（甲）」順序排列。標題「壹、」字體為「標楷體</w:t>
      </w:r>
      <w:r>
        <w:rPr>
          <w:rFonts w:ascii="新細明體" w:eastAsia="新細明體" w:hAnsi="新細明體" w:cs="新細明體"/>
        </w:rPr>
        <w:t>18</w:t>
      </w:r>
      <w:r>
        <w:rPr>
          <w:rFonts w:ascii="新細明體" w:eastAsia="新細明體" w:hAnsi="新細明體" w:cs="新細明體" w:hint="eastAsia"/>
        </w:rPr>
        <w:t>級」；標題「一、」字體為「標楷體</w:t>
      </w:r>
      <w:r>
        <w:rPr>
          <w:rFonts w:ascii="新細明體" w:eastAsia="新細明體" w:hAnsi="新細明體" w:cs="新細明體"/>
        </w:rPr>
        <w:t>14</w:t>
      </w:r>
      <w:r>
        <w:rPr>
          <w:rFonts w:ascii="新細明體" w:eastAsia="新細明體" w:hAnsi="新細明體" w:cs="新細明體" w:hint="eastAsia"/>
        </w:rPr>
        <w:t>級」；其餘標題為「標楷體</w:t>
      </w:r>
      <w:r>
        <w:rPr>
          <w:rFonts w:ascii="新細明體" w:eastAsia="新細明體" w:hAnsi="新細明體" w:cs="新細明體"/>
        </w:rPr>
        <w:t>12</w:t>
      </w:r>
      <w:r>
        <w:rPr>
          <w:rFonts w:ascii="新細明體" w:eastAsia="新細明體" w:hAnsi="新細明體" w:cs="新細明體" w:hint="eastAsia"/>
        </w:rPr>
        <w:t>級」；本文為「新細明體</w:t>
      </w:r>
      <w:r>
        <w:rPr>
          <w:rFonts w:ascii="新細明體" w:eastAsia="新細明體" w:hAnsi="新細明體" w:cs="新細明體"/>
        </w:rPr>
        <w:t>12</w:t>
      </w:r>
      <w:r>
        <w:rPr>
          <w:rFonts w:ascii="新細明體" w:eastAsia="新細明體" w:hAnsi="新細明體" w:cs="新細明體" w:hint="eastAsia"/>
        </w:rPr>
        <w:t>級」；註解為「新細明體</w:t>
      </w:r>
      <w:r>
        <w:rPr>
          <w:rFonts w:ascii="新細明體" w:eastAsia="新細明體" w:hAnsi="新細明體" w:cs="新細明體"/>
        </w:rPr>
        <w:t>10</w:t>
      </w:r>
      <w:r>
        <w:rPr>
          <w:rFonts w:ascii="新細明體" w:eastAsia="新細明體" w:hAnsi="新細明體" w:cs="新細明體" w:hint="eastAsia"/>
        </w:rPr>
        <w:t>級」。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四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行</w:t>
      </w:r>
      <w:r>
        <w:rPr>
          <w:rFonts w:ascii="新細明體" w:eastAsia="新細明體" w:hAnsi="新細明體" w:cs="新細明體"/>
        </w:rPr>
        <w:t xml:space="preserve">    </w:t>
      </w:r>
      <w:r>
        <w:rPr>
          <w:rFonts w:ascii="新細明體" w:eastAsia="新細明體" w:hAnsi="新細明體" w:cs="新細明體" w:hint="eastAsia"/>
        </w:rPr>
        <w:t>距：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以「單行間距」為標準。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五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段落間距：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與前、後段距離為「</w:t>
      </w:r>
      <w:r>
        <w:rPr>
          <w:rFonts w:ascii="新細明體" w:eastAsia="新細明體" w:hAnsi="新細明體" w:cs="新細明體"/>
        </w:rPr>
        <w:t xml:space="preserve">0 </w:t>
      </w:r>
      <w:proofErr w:type="spellStart"/>
      <w:r>
        <w:rPr>
          <w:rFonts w:ascii="新細明體" w:eastAsia="新細明體" w:hAnsi="新細明體" w:cs="新細明體"/>
        </w:rPr>
        <w:t>pt</w:t>
      </w:r>
      <w:proofErr w:type="spellEnd"/>
      <w:r>
        <w:rPr>
          <w:rFonts w:ascii="新細明體" w:eastAsia="新細明體" w:hAnsi="新細明體" w:cs="新細明體" w:hint="eastAsia"/>
        </w:rPr>
        <w:t>」，</w:t>
      </w:r>
      <w:proofErr w:type="gramStart"/>
      <w:r>
        <w:rPr>
          <w:rFonts w:ascii="新細明體" w:eastAsia="新細明體" w:hAnsi="新細明體" w:cs="新細明體" w:hint="eastAsia"/>
        </w:rPr>
        <w:t>不貼齊格</w:t>
      </w:r>
      <w:proofErr w:type="gramEnd"/>
      <w:r>
        <w:rPr>
          <w:rFonts w:ascii="新細明體" w:eastAsia="新細明體" w:hAnsi="新細明體" w:cs="新細明體" w:hint="eastAsia"/>
        </w:rPr>
        <w:t>線。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六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頁</w:t>
      </w:r>
      <w:r>
        <w:rPr>
          <w:rFonts w:ascii="新細明體" w:eastAsia="新細明體" w:hAnsi="新細明體" w:cs="新細明體"/>
        </w:rPr>
        <w:t xml:space="preserve">    </w:t>
      </w:r>
      <w:r>
        <w:rPr>
          <w:rFonts w:ascii="新細明體" w:eastAsia="新細明體" w:hAnsi="新細明體" w:cs="新細明體" w:hint="eastAsia"/>
        </w:rPr>
        <w:t>碼：</w:t>
      </w:r>
      <w:r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 w:hint="eastAsia"/>
        </w:rPr>
        <w:t>頁碼置中於「頁尾」。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七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文字應以橫排，由左至右撰寫。</w:t>
      </w:r>
    </w:p>
    <w:p w:rsidR="005F0CD1" w:rsidRDefault="005F0CD1" w:rsidP="005F0CD1">
      <w:pPr>
        <w:spacing w:line="360" w:lineRule="auto"/>
      </w:pPr>
      <w:r>
        <w:rPr>
          <w:rFonts w:ascii="細明體" w:eastAsia="細明體" w:hAnsi="細明體" w:cs="細明體" w:hint="eastAsia"/>
        </w:rPr>
        <w:t>四、</w:t>
      </w:r>
      <w:r>
        <w:rPr>
          <w:rFonts w:ascii="Times New Roman" w:eastAsia="Times New Roman" w:hAnsi="Times New Roman" w:cs="Times New Roman"/>
          <w:sz w:val="14"/>
        </w:rPr>
        <w:t xml:space="preserve">   </w:t>
      </w:r>
      <w:r>
        <w:rPr>
          <w:rFonts w:ascii="新細明體" w:eastAsia="新細明體" w:hAnsi="新細明體" w:cs="新細明體" w:hint="eastAsia"/>
        </w:rPr>
        <w:t>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proofErr w:type="gramStart"/>
      <w:r>
        <w:rPr>
          <w:rFonts w:ascii="細明體" w:eastAsia="細明體" w:hAnsi="細明體" w:cs="細明體" w:hint="eastAsia"/>
        </w:rPr>
        <w:t>一</w:t>
      </w:r>
      <w:proofErr w:type="gramEnd"/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所有引</w:t>
      </w:r>
      <w:proofErr w:type="gramStart"/>
      <w:r>
        <w:rPr>
          <w:rFonts w:ascii="新細明體" w:eastAsia="新細明體" w:hAnsi="新細明體" w:cs="新細明體" w:hint="eastAsia"/>
        </w:rPr>
        <w:t>註均須詳</w:t>
      </w:r>
      <w:proofErr w:type="gramEnd"/>
      <w:r>
        <w:rPr>
          <w:rFonts w:ascii="新細明體" w:eastAsia="新細明體" w:hAnsi="新細明體" w:cs="新細明體" w:hint="eastAsia"/>
        </w:rPr>
        <w:t>列出處。如引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係轉引自其他書籍或論文，則須另予註明，不得逕行</w:t>
      </w:r>
      <w:proofErr w:type="gramStart"/>
      <w:r>
        <w:rPr>
          <w:rFonts w:ascii="新細明體" w:eastAsia="新細明體" w:hAnsi="新細明體" w:cs="新細明體" w:hint="eastAsia"/>
        </w:rPr>
        <w:t>錄引。</w:t>
      </w:r>
      <w:proofErr w:type="gramEnd"/>
      <w:r>
        <w:rPr>
          <w:rFonts w:ascii="新細明體" w:eastAsia="新細明體" w:hAnsi="新細明體" w:cs="新細明體" w:hint="eastAsia"/>
        </w:rPr>
        <w:t>年代一律以西元為</w:t>
      </w:r>
      <w:proofErr w:type="gramStart"/>
      <w:r>
        <w:rPr>
          <w:rFonts w:ascii="新細明體" w:eastAsia="新細明體" w:hAnsi="新細明體" w:cs="新細明體" w:hint="eastAsia"/>
        </w:rPr>
        <w:t>準</w:t>
      </w:r>
      <w:proofErr w:type="gramEnd"/>
      <w:r>
        <w:rPr>
          <w:rFonts w:ascii="新細明體" w:eastAsia="新細明體" w:hAnsi="新細明體" w:cs="新細明體" w:hint="eastAsia"/>
        </w:rPr>
        <w:t>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二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proofErr w:type="gramStart"/>
      <w:r>
        <w:rPr>
          <w:rFonts w:ascii="新細明體" w:eastAsia="新細明體" w:hAnsi="新細明體" w:cs="新細明體" w:hint="eastAsia"/>
        </w:rPr>
        <w:t>採</w:t>
      </w:r>
      <w:proofErr w:type="gramEnd"/>
      <w:r>
        <w:rPr>
          <w:rFonts w:ascii="新細明體" w:eastAsia="新細明體" w:hAnsi="新細明體" w:cs="新細明體" w:hint="eastAsia"/>
        </w:rPr>
        <w:t>同頁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格式。所引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之文獻資料，若係重複、緊鄰出現時，可註明「同前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」；若非緊鄰出現時，則註明作者及「同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」之後再標明頁數。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三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引用專書若為初版，無須註明版次，僅須列出版年代。但若為二版以上，則須註明版次；大法官解釋、法律條文及行政函釋，無須註明日期及出處。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四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字體為「新細明體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新細明體" w:eastAsia="新細明體" w:hAnsi="新細明體" w:cs="新細明體" w:hint="eastAsia"/>
        </w:rPr>
        <w:t>級」，行距</w:t>
      </w:r>
      <w:proofErr w:type="gramStart"/>
      <w:r>
        <w:rPr>
          <w:rFonts w:ascii="新細明體" w:eastAsia="新細明體" w:hAnsi="新細明體" w:cs="新細明體" w:hint="eastAsia"/>
        </w:rPr>
        <w:t>採</w:t>
      </w:r>
      <w:proofErr w:type="gramEnd"/>
      <w:r>
        <w:rPr>
          <w:rFonts w:ascii="新細明體" w:eastAsia="新細明體" w:hAnsi="新細明體" w:cs="新細明體" w:hint="eastAsia"/>
        </w:rPr>
        <w:t>「最小行高</w:t>
      </w:r>
      <w:r>
        <w:rPr>
          <w:rFonts w:ascii="Times New Roman" w:eastAsia="Times New Roman" w:hAnsi="Times New Roman" w:cs="Times New Roman"/>
        </w:rPr>
        <w:t>12pt</w:t>
      </w:r>
      <w:r>
        <w:rPr>
          <w:rFonts w:ascii="新細明體" w:eastAsia="新細明體" w:hAnsi="新細明體" w:cs="新細明體" w:hint="eastAsia"/>
        </w:rPr>
        <w:t>」，格式參考範例如下：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中文書籍、專書論文、期刊論文：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書籍：陳慈陽，行政法總論，頁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，神州出版社，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新細明體" w:eastAsia="新細明體" w:hAnsi="新細明體" w:cs="新細明體" w:hint="eastAsia"/>
        </w:rPr>
        <w:t>年。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吳庚，行政法之理論與實用，頁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</w:t>
      </w:r>
      <w:proofErr w:type="gramStart"/>
      <w:r>
        <w:rPr>
          <w:rFonts w:ascii="新細明體" w:eastAsia="新細明體" w:hAnsi="新細明體" w:cs="新細明體" w:hint="eastAsia"/>
        </w:rPr>
        <w:t>自版</w:t>
      </w:r>
      <w:proofErr w:type="gramEnd"/>
      <w:r>
        <w:rPr>
          <w:rFonts w:ascii="新細明體" w:eastAsia="新細明體" w:hAnsi="新細明體" w:cs="新細明體" w:hint="eastAsia"/>
        </w:rPr>
        <w:t>，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新細明體" w:eastAsia="新細明體" w:hAnsi="新細明體" w:cs="新細明體" w:hint="eastAsia"/>
        </w:rPr>
        <w:t>年修訂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新細明體" w:eastAsia="新細明體" w:hAnsi="新細明體" w:cs="新細明體" w:hint="eastAsia"/>
        </w:rPr>
        <w:t>版。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專書論文：張心悌，股東提案權之省思</w:t>
      </w:r>
      <w:proofErr w:type="gramStart"/>
      <w:r>
        <w:rPr>
          <w:rFonts w:ascii="Times New Roman" w:eastAsia="Times New Roman" w:hAnsi="Times New Roman" w:cs="Times New Roman"/>
        </w:rPr>
        <w:t>—</w:t>
      </w:r>
      <w:proofErr w:type="gramEnd"/>
      <w:r>
        <w:rPr>
          <w:rFonts w:ascii="新細明體" w:eastAsia="新細明體" w:hAnsi="新細明體" w:cs="新細明體" w:hint="eastAsia"/>
        </w:rPr>
        <w:t>兼以代理成本與</w:t>
      </w:r>
      <w:r>
        <w:rPr>
          <w:rFonts w:ascii="Times New Roman" w:eastAsia="Times New Roman" w:hAnsi="Times New Roman" w:cs="Times New Roman"/>
        </w:rPr>
        <w:t>Arrow</w:t>
      </w:r>
      <w:r>
        <w:rPr>
          <w:rFonts w:ascii="新細明體" w:eastAsia="新細明體" w:hAnsi="新細明體" w:cs="新細明體" w:hint="eastAsia"/>
        </w:rPr>
        <w:t>定理</w:t>
      </w:r>
      <w:r>
        <w:rPr>
          <w:rFonts w:ascii="新細明體" w:eastAsia="新細明體" w:hAnsi="新細明體" w:cs="新細明體" w:hint="eastAsia"/>
        </w:rPr>
        <w:lastRenderedPageBreak/>
        <w:t>觀察之，現代公司法之新課題</w:t>
      </w:r>
      <w:proofErr w:type="gramStart"/>
      <w:r>
        <w:rPr>
          <w:rFonts w:ascii="Times New Roman" w:eastAsia="Times New Roman" w:hAnsi="Times New Roman" w:cs="Times New Roman"/>
        </w:rPr>
        <w:t>—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新細明體" w:eastAsia="新細明體" w:hAnsi="新細明體" w:cs="新細明體" w:hint="eastAsia"/>
        </w:rPr>
        <w:t>賴英照教授六</w:t>
      </w:r>
      <w:proofErr w:type="gramStart"/>
      <w:r>
        <w:rPr>
          <w:rFonts w:ascii="新細明體" w:eastAsia="新細明體" w:hAnsi="新細明體" w:cs="新細明體" w:hint="eastAsia"/>
        </w:rPr>
        <w:t>秩</w:t>
      </w:r>
      <w:proofErr w:type="gramEnd"/>
      <w:r>
        <w:rPr>
          <w:rFonts w:ascii="新細明體" w:eastAsia="新細明體" w:hAnsi="新細明體" w:cs="新細明體" w:hint="eastAsia"/>
        </w:rPr>
        <w:t>華誕祝賀論文集，頁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，元照出版公司，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新細明體" w:eastAsia="新細明體" w:hAnsi="新細明體" w:cs="新細明體" w:hint="eastAsia"/>
        </w:rPr>
        <w:t>年。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期刊論文：陳愛娥，立法怠惰與司法審查，憲政時代，第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新細明體" w:eastAsia="新細明體" w:hAnsi="新細明體" w:cs="新細明體" w:hint="eastAsia"/>
        </w:rPr>
        <w:t>卷第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新細明體" w:eastAsia="新細明體" w:hAnsi="新細明體" w:cs="新細明體" w:hint="eastAsia"/>
        </w:rPr>
        <w:t>期，頁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新細明體" w:eastAsia="新細明體" w:hAnsi="新細明體" w:cs="新細明體" w:hint="eastAsia"/>
        </w:rPr>
        <w:t>月。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日文書籍、專書論文、期刊論文：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書籍：大村</w:t>
      </w:r>
      <w:proofErr w:type="gramStart"/>
      <w:r>
        <w:rPr>
          <w:rFonts w:ascii="新細明體" w:eastAsia="新細明體" w:hAnsi="新細明體" w:cs="新細明體" w:hint="eastAsia"/>
        </w:rPr>
        <w:t>敦</w:t>
      </w:r>
      <w:proofErr w:type="gramEnd"/>
      <w:r>
        <w:rPr>
          <w:rFonts w:ascii="新細明體" w:eastAsia="新細明體" w:hAnsi="新細明體" w:cs="新細明體" w:hint="eastAsia"/>
        </w:rPr>
        <w:t>志，消費者法，頁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，（有</w:t>
      </w:r>
      <w:proofErr w:type="gramStart"/>
      <w:r>
        <w:rPr>
          <w:rFonts w:ascii="新細明體" w:eastAsia="新細明體" w:hAnsi="新細明體" w:cs="新細明體" w:hint="eastAsia"/>
        </w:rPr>
        <w:t>斐</w:t>
      </w:r>
      <w:proofErr w:type="gramEnd"/>
      <w:r>
        <w:rPr>
          <w:rFonts w:ascii="新細明體" w:eastAsia="新細明體" w:hAnsi="新細明體" w:cs="新細明體" w:hint="eastAsia"/>
        </w:rPr>
        <w:t>閣，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新細明體" w:eastAsia="新細明體" w:hAnsi="新細明體" w:cs="新細明體" w:hint="eastAsia"/>
        </w:rPr>
        <w:t>年）。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專書論文：円谷峻，契約締結上の過失法理の生成と展開，新</w:t>
      </w:r>
      <w:r>
        <w:rPr>
          <w:rFonts w:ascii="Times New Roman" w:eastAsia="Times New Roman" w:hAnsi="Times New Roman" w:cs="Times New Roman"/>
        </w:rPr>
        <w:t>˙</w:t>
      </w:r>
      <w:r>
        <w:rPr>
          <w:rFonts w:ascii="新細明體" w:eastAsia="新細明體" w:hAnsi="新細明體" w:cs="新細明體" w:hint="eastAsia"/>
        </w:rPr>
        <w:t>契約の成立と責任，頁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（成文堂，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新細明體" w:eastAsia="新細明體" w:hAnsi="新細明體" w:cs="新細明體" w:hint="eastAsia"/>
        </w:rPr>
        <w:t>年）。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期刊論文：</w:t>
      </w:r>
      <w:proofErr w:type="gramStart"/>
      <w:r>
        <w:rPr>
          <w:rFonts w:ascii="新細明體" w:eastAsia="新細明體" w:hAnsi="新細明體" w:cs="新細明體" w:hint="eastAsia"/>
        </w:rPr>
        <w:t>潮見佳男</w:t>
      </w:r>
      <w:proofErr w:type="gramEnd"/>
      <w:r>
        <w:rPr>
          <w:rFonts w:ascii="新細明體" w:eastAsia="新細明體" w:hAnsi="新細明體" w:cs="新細明體" w:hint="eastAsia"/>
        </w:rPr>
        <w:t>，投資</w:t>
      </w:r>
      <w:proofErr w:type="gramStart"/>
      <w:r>
        <w:rPr>
          <w:rFonts w:ascii="新細明體" w:eastAsia="新細明體" w:hAnsi="新細明體" w:cs="新細明體" w:hint="eastAsia"/>
        </w:rPr>
        <w:t>取引と</w:t>
      </w:r>
      <w:proofErr w:type="gramEnd"/>
      <w:r>
        <w:rPr>
          <w:rFonts w:ascii="新細明體" w:eastAsia="新細明體" w:hAnsi="新細明體" w:cs="新細明體" w:hint="eastAsia"/>
        </w:rPr>
        <w:t>民法理論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新細明體" w:eastAsia="新細明體" w:hAnsi="新細明體" w:cs="新細明體" w:hint="eastAsia"/>
        </w:rPr>
        <w:t>四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新細明體" w:eastAsia="新細明體" w:hAnsi="新細明體" w:cs="新細明體" w:hint="eastAsia"/>
        </w:rPr>
        <w:t>，民商法雜誌，第</w:t>
      </w:r>
      <w:r>
        <w:rPr>
          <w:rFonts w:ascii="Times New Roman" w:eastAsia="Times New Roman" w:hAnsi="Times New Roman" w:cs="Times New Roman"/>
        </w:rPr>
        <w:t>118</w:t>
      </w:r>
      <w:r>
        <w:rPr>
          <w:rFonts w:ascii="新細明體" w:eastAsia="新細明體" w:hAnsi="新細明體" w:cs="新細明體" w:hint="eastAsia"/>
        </w:rPr>
        <w:t>卷第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新細明體" w:eastAsia="新細明體" w:hAnsi="新細明體" w:cs="新細明體" w:hint="eastAsia"/>
        </w:rPr>
        <w:t>期，頁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新細明體" w:eastAsia="新細明體" w:hAnsi="新細明體" w:cs="新細明體" w:hint="eastAsia"/>
        </w:rPr>
        <w:t>月。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英文書籍、專書論文、期刊論文：（請依照</w:t>
      </w:r>
      <w:r>
        <w:rPr>
          <w:rFonts w:ascii="Times New Roman" w:eastAsia="Times New Roman" w:hAnsi="Times New Roman" w:cs="Times New Roman"/>
        </w:rPr>
        <w:t>Blue Book</w:t>
      </w:r>
      <w:r>
        <w:rPr>
          <w:rFonts w:ascii="新細明體" w:eastAsia="新細明體" w:hAnsi="新細明體" w:cs="新細明體" w:hint="eastAsia"/>
        </w:rPr>
        <w:t>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格式撰寫）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書籍：</w:t>
      </w:r>
      <w:proofErr w:type="gramStart"/>
      <w:r>
        <w:rPr>
          <w:rFonts w:ascii="Times New Roman" w:eastAsia="Times New Roman" w:hAnsi="Times New Roman" w:cs="Times New Roman"/>
        </w:rPr>
        <w:t>DEBORAH L. RHODE, JUSTICE AND GENDER 56(1989).</w:t>
      </w:r>
      <w:proofErr w:type="gramEnd"/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不同作者論文集收錄之論文：</w:t>
      </w:r>
      <w:r>
        <w:rPr>
          <w:rFonts w:ascii="Times New Roman" w:eastAsia="Times New Roman" w:hAnsi="Times New Roman" w:cs="Times New Roman"/>
        </w:rPr>
        <w:t xml:space="preserve">Kay </w:t>
      </w:r>
      <w:proofErr w:type="spellStart"/>
      <w:r>
        <w:rPr>
          <w:rFonts w:ascii="Times New Roman" w:eastAsia="Times New Roman" w:hAnsi="Times New Roman" w:cs="Times New Roman"/>
        </w:rPr>
        <w:t>Deaux</w:t>
      </w:r>
      <w:proofErr w:type="spellEnd"/>
      <w:r>
        <w:rPr>
          <w:rFonts w:ascii="Times New Roman" w:eastAsia="Times New Roman" w:hAnsi="Times New Roman" w:cs="Times New Roman"/>
        </w:rPr>
        <w:t xml:space="preserve"> &amp; Brenda Major,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Social-Psychological Model of Gender,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THEORETICAL PERSPECTIVES ON SEXUAL DIFFERENCE 89 (Deborah L. Rhode ed., 1990)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同一作者論文集收錄之論文：</w:t>
      </w:r>
      <w:r>
        <w:rPr>
          <w:rFonts w:ascii="Times New Roman" w:eastAsia="Times New Roman" w:hAnsi="Times New Roman" w:cs="Times New Roman"/>
        </w:rPr>
        <w:t>ADRIENNE RICH., Transcendental Etude, in THE FACT OF A DOORFRAME 264, 267-68 (1984)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(5)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期刊論文：</w:t>
      </w:r>
      <w:proofErr w:type="gramStart"/>
      <w:r>
        <w:rPr>
          <w:rFonts w:ascii="Times New Roman" w:eastAsia="Times New Roman" w:hAnsi="Times New Roman" w:cs="Times New Roman"/>
        </w:rPr>
        <w:t>Bruce Ackerman, Robert Bork Grand Inquisition, 99 YALE L. J. 1410, 1422-25(1990).</w:t>
      </w:r>
      <w:proofErr w:type="gramEnd"/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德文書籍、專書論文、期刊論文：（以引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作者全名為原則，例外得僅列姓氏）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書籍：</w:t>
      </w:r>
      <w:r>
        <w:rPr>
          <w:rFonts w:ascii="Times New Roman" w:eastAsia="Times New Roman" w:hAnsi="Times New Roman" w:cs="Times New Roman"/>
        </w:rPr>
        <w:t xml:space="preserve">Gustav </w:t>
      </w:r>
      <w:proofErr w:type="spellStart"/>
      <w:r>
        <w:rPr>
          <w:rFonts w:ascii="Times New Roman" w:eastAsia="Times New Roman" w:hAnsi="Times New Roman" w:cs="Times New Roman"/>
        </w:rPr>
        <w:t>Radbruch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Rechtsphilosophie</w:t>
      </w:r>
      <w:proofErr w:type="spellEnd"/>
      <w:r>
        <w:rPr>
          <w:rFonts w:ascii="Times New Roman" w:eastAsia="Times New Roman" w:hAnsi="Times New Roman" w:cs="Times New Roman"/>
        </w:rPr>
        <w:t xml:space="preserve">, 8.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Aufl</w:t>
      </w:r>
      <w:proofErr w:type="spellEnd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1973, S. 31. </w:t>
      </w:r>
      <w:proofErr w:type="gramStart"/>
      <w:r>
        <w:rPr>
          <w:rFonts w:ascii="新細明體" w:eastAsia="新細明體" w:hAnsi="新細明體" w:cs="新細明體" w:hint="eastAsia"/>
        </w:rPr>
        <w:t>（</w:t>
      </w:r>
      <w:proofErr w:type="gramEnd"/>
      <w:r>
        <w:rPr>
          <w:rFonts w:ascii="新細明體" w:eastAsia="新細明體" w:hAnsi="新細明體" w:cs="新細明體" w:hint="eastAsia"/>
        </w:rPr>
        <w:t>若為段碼應註明</w:t>
      </w:r>
      <w:r>
        <w:rPr>
          <w:rFonts w:ascii="Times New Roman" w:eastAsia="Times New Roman" w:hAnsi="Times New Roman" w:cs="Times New Roman"/>
        </w:rPr>
        <w:t>Rn. 31</w:t>
      </w:r>
      <w:proofErr w:type="gramStart"/>
      <w:r>
        <w:rPr>
          <w:rFonts w:ascii="新細明體" w:eastAsia="新細明體" w:hAnsi="新細明體" w:cs="新細明體" w:hint="eastAsia"/>
        </w:rPr>
        <w:t>）</w:t>
      </w:r>
      <w:proofErr w:type="gramEnd"/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專書論文：</w:t>
      </w:r>
      <w:r>
        <w:rPr>
          <w:rFonts w:ascii="Times New Roman" w:eastAsia="Times New Roman" w:hAnsi="Times New Roman" w:cs="Times New Roman"/>
        </w:rPr>
        <w:t xml:space="preserve">Bernd Schulte, </w:t>
      </w:r>
      <w:proofErr w:type="spellStart"/>
      <w:r>
        <w:rPr>
          <w:rFonts w:ascii="Times New Roman" w:eastAsia="Times New Roman" w:hAnsi="Times New Roman" w:cs="Times New Roman"/>
        </w:rPr>
        <w:t>Alterssicherung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Vereinigten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Königreich</w:t>
      </w:r>
      <w:proofErr w:type="spellEnd"/>
      <w:r>
        <w:rPr>
          <w:rFonts w:ascii="Times New Roman" w:eastAsia="Times New Roman" w:hAnsi="Times New Roman" w:cs="Times New Roman"/>
        </w:rPr>
        <w:t xml:space="preserve">, in: Hans-Joachim </w:t>
      </w:r>
      <w:proofErr w:type="spellStart"/>
      <w:r>
        <w:rPr>
          <w:rFonts w:ascii="Times New Roman" w:eastAsia="Times New Roman" w:hAnsi="Times New Roman" w:cs="Times New Roman"/>
        </w:rPr>
        <w:t>Rheinhard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Hrsg</w:t>
      </w:r>
      <w:proofErr w:type="spellEnd"/>
      <w:r>
        <w:rPr>
          <w:rFonts w:ascii="Times New Roman" w:eastAsia="Times New Roman" w:hAnsi="Times New Roman" w:cs="Times New Roman"/>
        </w:rPr>
        <w:t>.),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Demographischer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Wandel</w:t>
      </w:r>
      <w:proofErr w:type="spellEnd"/>
      <w:r>
        <w:rPr>
          <w:rFonts w:ascii="Times New Roman" w:eastAsia="Times New Roman" w:hAnsi="Times New Roman" w:cs="Times New Roman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</w:rPr>
        <w:t>Alterssicherung</w:t>
      </w:r>
      <w:proofErr w:type="spellEnd"/>
      <w:r>
        <w:rPr>
          <w:rFonts w:ascii="Times New Roman" w:eastAsia="Times New Roman" w:hAnsi="Times New Roman" w:cs="Times New Roman"/>
        </w:rPr>
        <w:t>, 2001, S. 295-297.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期刊論文：</w:t>
      </w:r>
      <w:r>
        <w:rPr>
          <w:rFonts w:ascii="Times New Roman" w:eastAsia="Times New Roman" w:hAnsi="Times New Roman" w:cs="Times New Roman"/>
        </w:rPr>
        <w:t xml:space="preserve">Schreiber, Das </w:t>
      </w:r>
      <w:proofErr w:type="spellStart"/>
      <w:r>
        <w:rPr>
          <w:rFonts w:ascii="Times New Roman" w:eastAsia="Times New Roman" w:hAnsi="Times New Roman" w:cs="Times New Roman"/>
        </w:rPr>
        <w:t>Arbeitsverhältnis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Übergang</w:t>
      </w:r>
      <w:proofErr w:type="spellEnd"/>
      <w:r>
        <w:rPr>
          <w:rFonts w:ascii="Times New Roman" w:eastAsia="Times New Roman" w:hAnsi="Times New Roman" w:cs="Times New Roman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</w:rPr>
        <w:t>Betriebs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RdA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1982, S.137 ff.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法文書籍、專書論文、期刊論文：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lastRenderedPageBreak/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書籍：</w:t>
      </w:r>
      <w:r>
        <w:rPr>
          <w:rFonts w:ascii="Times New Roman" w:eastAsia="Times New Roman" w:hAnsi="Times New Roman" w:cs="Times New Roman"/>
        </w:rPr>
        <w:t>DUPEYROUX</w:t>
      </w:r>
      <w:proofErr w:type="gramStart"/>
      <w:r>
        <w:rPr>
          <w:rFonts w:ascii="新細明體" w:eastAsia="新細明體" w:hAnsi="新細明體" w:cs="新細明體" w:hint="eastAsia"/>
        </w:rPr>
        <w:t>（</w:t>
      </w:r>
      <w:proofErr w:type="gramEnd"/>
      <w:r>
        <w:rPr>
          <w:rFonts w:ascii="Times New Roman" w:eastAsia="Times New Roman" w:hAnsi="Times New Roman" w:cs="Times New Roman"/>
        </w:rPr>
        <w:t>J.-J</w:t>
      </w:r>
      <w:proofErr w:type="gramStart"/>
      <w:r>
        <w:rPr>
          <w:rFonts w:ascii="新細明體" w:eastAsia="新細明體" w:hAnsi="新細明體" w:cs="新細明體" w:hint="eastAsia"/>
        </w:rPr>
        <w:t>）</w:t>
      </w:r>
      <w:proofErr w:type="gramEnd"/>
      <w:r>
        <w:rPr>
          <w:rFonts w:ascii="Times New Roman" w:eastAsia="Times New Roman" w:hAnsi="Times New Roman" w:cs="Times New Roman"/>
        </w:rPr>
        <w:t xml:space="preserve">Droit de la </w:t>
      </w:r>
      <w:proofErr w:type="spellStart"/>
      <w:r>
        <w:rPr>
          <w:rFonts w:ascii="Times New Roman" w:eastAsia="Times New Roman" w:hAnsi="Times New Roman" w:cs="Times New Roman"/>
        </w:rPr>
        <w:t>Sécurité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sociale</w:t>
      </w:r>
      <w:proofErr w:type="spellEnd"/>
      <w:r>
        <w:rPr>
          <w:rFonts w:ascii="Times New Roman" w:eastAsia="Times New Roman" w:hAnsi="Times New Roman" w:cs="Times New Roman"/>
        </w:rPr>
        <w:t xml:space="preserve">, Précis </w:t>
      </w:r>
      <w:proofErr w:type="spellStart"/>
      <w:r>
        <w:rPr>
          <w:rFonts w:ascii="Times New Roman" w:eastAsia="Times New Roman" w:hAnsi="Times New Roman" w:cs="Times New Roman"/>
        </w:rPr>
        <w:t>Dalloz</w:t>
      </w:r>
      <w:proofErr w:type="spellEnd"/>
      <w:r>
        <w:rPr>
          <w:rFonts w:ascii="Times New Roman" w:eastAsia="Times New Roman" w:hAnsi="Times New Roman" w:cs="Times New Roman"/>
        </w:rPr>
        <w:t>, 2006, p.56.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專書論文：</w:t>
      </w:r>
      <w:proofErr w:type="gramStart"/>
      <w:r>
        <w:rPr>
          <w:rFonts w:ascii="Times New Roman" w:eastAsia="Times New Roman" w:hAnsi="Times New Roman" w:cs="Times New Roman"/>
        </w:rPr>
        <w:t>PAUCHARD(</w:t>
      </w:r>
      <w:proofErr w:type="gramEnd"/>
      <w:r>
        <w:rPr>
          <w:rFonts w:ascii="Times New Roman" w:eastAsia="Times New Roman" w:hAnsi="Times New Roman" w:cs="Times New Roman"/>
        </w:rPr>
        <w:t xml:space="preserve">P.) Droit de Protection </w:t>
      </w:r>
      <w:proofErr w:type="spellStart"/>
      <w:r>
        <w:rPr>
          <w:rFonts w:ascii="Times New Roman" w:eastAsia="Times New Roman" w:hAnsi="Times New Roman" w:cs="Times New Roman"/>
        </w:rPr>
        <w:t>sociale</w:t>
      </w:r>
      <w:proofErr w:type="spellEnd"/>
      <w:r>
        <w:rPr>
          <w:rFonts w:ascii="Times New Roman" w:eastAsia="Times New Roman" w:hAnsi="Times New Roman" w:cs="Times New Roman"/>
        </w:rPr>
        <w:t>, in: DUPEYROUX</w:t>
      </w:r>
      <w:proofErr w:type="gramStart"/>
      <w:r>
        <w:rPr>
          <w:rFonts w:ascii="新細明體" w:eastAsia="新細明體" w:hAnsi="新細明體" w:cs="新細明體" w:hint="eastAsia"/>
        </w:rPr>
        <w:t>（</w:t>
      </w:r>
      <w:proofErr w:type="gramEnd"/>
      <w:r>
        <w:rPr>
          <w:rFonts w:ascii="Times New Roman" w:eastAsia="Times New Roman" w:hAnsi="Times New Roman" w:cs="Times New Roman"/>
        </w:rPr>
        <w:t>J.-J</w:t>
      </w:r>
      <w:proofErr w:type="gramStart"/>
      <w:r>
        <w:rPr>
          <w:rFonts w:ascii="新細明體" w:eastAsia="新細明體" w:hAnsi="新細明體" w:cs="新細明體" w:hint="eastAsia"/>
        </w:rPr>
        <w:t>）</w:t>
      </w:r>
      <w:proofErr w:type="gramEnd"/>
      <w:r>
        <w:rPr>
          <w:rFonts w:ascii="Times New Roman" w:eastAsia="Times New Roman" w:hAnsi="Times New Roman" w:cs="Times New Roman"/>
        </w:rPr>
        <w:t xml:space="preserve">Droit de la </w:t>
      </w:r>
      <w:proofErr w:type="spellStart"/>
      <w:r>
        <w:rPr>
          <w:rFonts w:ascii="Times New Roman" w:eastAsia="Times New Roman" w:hAnsi="Times New Roman" w:cs="Times New Roman"/>
        </w:rPr>
        <w:t>Sécurité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Dalloz</w:t>
      </w:r>
      <w:proofErr w:type="spellEnd"/>
      <w:r>
        <w:rPr>
          <w:rFonts w:ascii="Times New Roman" w:eastAsia="Times New Roman" w:hAnsi="Times New Roman" w:cs="Times New Roman"/>
        </w:rPr>
        <w:t>, 2006, p.66.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期刊論文：</w:t>
      </w:r>
      <w:proofErr w:type="gramStart"/>
      <w:r>
        <w:rPr>
          <w:rFonts w:ascii="Times New Roman" w:eastAsia="Times New Roman" w:hAnsi="Times New Roman" w:cs="Times New Roman"/>
        </w:rPr>
        <w:t>EUZEBY(</w:t>
      </w:r>
      <w:proofErr w:type="gramEnd"/>
      <w:r>
        <w:rPr>
          <w:rFonts w:ascii="Times New Roman" w:eastAsia="Times New Roman" w:hAnsi="Times New Roman" w:cs="Times New Roman"/>
        </w:rPr>
        <w:t xml:space="preserve">A.), Protection </w:t>
      </w:r>
      <w:proofErr w:type="spellStart"/>
      <w:r>
        <w:rPr>
          <w:rFonts w:ascii="Times New Roman" w:eastAsia="Times New Roman" w:hAnsi="Times New Roman" w:cs="Times New Roman"/>
        </w:rPr>
        <w:t>sociale</w:t>
      </w:r>
      <w:proofErr w:type="spellEnd"/>
      <w:r>
        <w:rPr>
          <w:rFonts w:ascii="Times New Roman" w:eastAsia="Times New Roman" w:hAnsi="Times New Roman" w:cs="Times New Roman"/>
        </w:rPr>
        <w:t xml:space="preserve"> et justice </w:t>
      </w:r>
      <w:proofErr w:type="spellStart"/>
      <w:r>
        <w:rPr>
          <w:rFonts w:ascii="Times New Roman" w:eastAsia="Times New Roman" w:hAnsi="Times New Roman" w:cs="Times New Roman"/>
        </w:rPr>
        <w:t>sociale:quelques</w:t>
      </w:r>
      <w:proofErr w:type="spellEnd"/>
      <w:r>
        <w:rPr>
          <w:rFonts w:ascii="Times New Roman" w:eastAsia="Times New Roman" w:hAnsi="Times New Roman" w:cs="Times New Roman"/>
        </w:rPr>
        <w:t xml:space="preserve"> points de </w:t>
      </w:r>
      <w:proofErr w:type="spellStart"/>
      <w:r>
        <w:rPr>
          <w:rFonts w:ascii="Times New Roman" w:eastAsia="Times New Roman" w:hAnsi="Times New Roman" w:cs="Times New Roman"/>
        </w:rPr>
        <w:t>repères</w:t>
      </w:r>
      <w:proofErr w:type="spellEnd"/>
      <w:r>
        <w:rPr>
          <w:rFonts w:ascii="Times New Roman" w:eastAsia="Times New Roman" w:hAnsi="Times New Roman" w:cs="Times New Roman"/>
        </w:rPr>
        <w:t xml:space="preserve">, Droit social 2006, </w:t>
      </w:r>
      <w:proofErr w:type="spellStart"/>
      <w:r>
        <w:rPr>
          <w:rFonts w:ascii="Times New Roman" w:eastAsia="Times New Roman" w:hAnsi="Times New Roman" w:cs="Times New Roman"/>
        </w:rPr>
        <w:t>numéro</w:t>
      </w:r>
      <w:proofErr w:type="spellEnd"/>
      <w:r>
        <w:rPr>
          <w:rFonts w:ascii="Times New Roman" w:eastAsia="Times New Roman" w:hAnsi="Times New Roman" w:cs="Times New Roman"/>
        </w:rPr>
        <w:t xml:space="preserve"> 1/2, p.814.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譯著：</w:t>
      </w:r>
    </w:p>
    <w:p w:rsidR="005F0CD1" w:rsidRDefault="005F0CD1" w:rsidP="005F0CD1">
      <w:pPr>
        <w:spacing w:line="360" w:lineRule="auto"/>
        <w:ind w:left="1440"/>
      </w:pPr>
      <w:r>
        <w:rPr>
          <w:rFonts w:ascii="新細明體" w:eastAsia="新細明體" w:hAnsi="新細明體" w:cs="新細明體" w:hint="eastAsia"/>
        </w:rPr>
        <w:t>亞圖</w:t>
      </w:r>
      <w:proofErr w:type="gramStart"/>
      <w:r>
        <w:rPr>
          <w:rFonts w:ascii="新細明體" w:eastAsia="新細明體" w:hAnsi="新細明體" w:cs="新細明體" w:hint="eastAsia"/>
        </w:rPr>
        <w:t>‧</w:t>
      </w:r>
      <w:proofErr w:type="gramEnd"/>
      <w:r>
        <w:rPr>
          <w:rFonts w:ascii="新細明體" w:eastAsia="新細明體" w:hAnsi="新細明體" w:cs="新細明體" w:hint="eastAsia"/>
        </w:rPr>
        <w:t>考夫</w:t>
      </w:r>
      <w:proofErr w:type="gramStart"/>
      <w:r>
        <w:rPr>
          <w:rFonts w:ascii="新細明體" w:eastAsia="新細明體" w:hAnsi="新細明體" w:cs="新細明體" w:hint="eastAsia"/>
        </w:rPr>
        <w:t>曼著</w:t>
      </w:r>
      <w:proofErr w:type="gramEnd"/>
      <w:r>
        <w:rPr>
          <w:rFonts w:ascii="新細明體" w:eastAsia="新細明體" w:hAnsi="新細明體" w:cs="新細明體" w:hint="eastAsia"/>
        </w:rPr>
        <w:t>，劉幸義譯，法律哲學，頁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，五南出版社，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新細明體" w:eastAsia="新細明體" w:hAnsi="新細明體" w:cs="新細明體" w:hint="eastAsia"/>
        </w:rPr>
        <w:t>年。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學位論文：</w:t>
      </w:r>
    </w:p>
    <w:p w:rsidR="005F0CD1" w:rsidRDefault="005F0CD1" w:rsidP="005F0CD1">
      <w:pPr>
        <w:spacing w:line="360" w:lineRule="auto"/>
        <w:ind w:left="1440"/>
      </w:pPr>
      <w:r>
        <w:rPr>
          <w:rFonts w:ascii="新細明體" w:eastAsia="新細明體" w:hAnsi="新細明體" w:cs="新細明體" w:hint="eastAsia"/>
        </w:rPr>
        <w:t>吳景芳，關於交通過失犯法官量刑之</w:t>
      </w:r>
      <w:proofErr w:type="gramStart"/>
      <w:r>
        <w:rPr>
          <w:rFonts w:ascii="新細明體" w:eastAsia="新細明體" w:hAnsi="新細明體" w:cs="新細明體" w:hint="eastAsia"/>
        </w:rPr>
        <w:t>研究－以中</w:t>
      </w:r>
      <w:proofErr w:type="gramEnd"/>
      <w:r>
        <w:rPr>
          <w:rFonts w:ascii="新細明體" w:eastAsia="新細明體" w:hAnsi="新細明體" w:cs="新細明體" w:hint="eastAsia"/>
        </w:rPr>
        <w:t>日實例為主，國立台灣大學法律學研究所博士論文，頁</w:t>
      </w:r>
      <w:r>
        <w:rPr>
          <w:rFonts w:ascii="Times New Roman" w:eastAsia="Times New Roman" w:hAnsi="Times New Roman" w:cs="Times New Roman"/>
        </w:rPr>
        <w:t>○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新細明體" w:eastAsia="新細明體" w:hAnsi="新細明體" w:cs="新細明體" w:hint="eastAsia"/>
        </w:rPr>
        <w:t>年。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研討會論文：</w:t>
      </w:r>
    </w:p>
    <w:p w:rsidR="005F0CD1" w:rsidRDefault="005F0CD1" w:rsidP="005F0CD1">
      <w:pPr>
        <w:spacing w:line="360" w:lineRule="auto"/>
        <w:ind w:left="1440"/>
      </w:pPr>
      <w:r>
        <w:rPr>
          <w:rFonts w:ascii="新細明體" w:eastAsia="新細明體" w:hAnsi="新細明體" w:cs="新細明體" w:hint="eastAsia"/>
        </w:rPr>
        <w:t>郭玲惠，職務調動的法理，勞動契約與勞動關係研討會，行政院勞工委員會主辦，</w:t>
      </w:r>
      <w:r>
        <w:rPr>
          <w:rFonts w:ascii="Times New Roman" w:eastAsia="Times New Roman" w:hAnsi="Times New Roman" w:cs="Times New Roman"/>
        </w:rPr>
        <w:t>1998</w:t>
      </w:r>
      <w:r>
        <w:rPr>
          <w:rFonts w:ascii="新細明體" w:eastAsia="新細明體" w:hAnsi="新細明體" w:cs="新細明體" w:hint="eastAsia"/>
        </w:rPr>
        <w:t>年。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新細明體" w:eastAsia="新細明體" w:hAnsi="新細明體" w:cs="新細明體" w:hint="eastAsia"/>
        </w:rPr>
        <w:t>大法官解釋、法律條文或判決等政府資料：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大法官解釋：司法院釋字第</w:t>
      </w:r>
      <w:r>
        <w:rPr>
          <w:rFonts w:ascii="Times New Roman" w:eastAsia="Times New Roman" w:hAnsi="Times New Roman" w:cs="Times New Roman"/>
        </w:rPr>
        <w:t>599</w:t>
      </w:r>
      <w:r>
        <w:rPr>
          <w:rFonts w:ascii="新細明體" w:eastAsia="新細明體" w:hAnsi="新細明體" w:cs="新細明體" w:hint="eastAsia"/>
        </w:rPr>
        <w:t>號解釋。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行政函釋：內政部</w:t>
      </w:r>
      <w:r>
        <w:rPr>
          <w:rFonts w:ascii="Times New Roman" w:eastAsia="Times New Roman" w:hAnsi="Times New Roman" w:cs="Times New Roman"/>
        </w:rPr>
        <w:t>(88)</w:t>
      </w:r>
      <w:r>
        <w:rPr>
          <w:rFonts w:ascii="新細明體" w:eastAsia="新細明體" w:hAnsi="新細明體" w:cs="新細明體" w:hint="eastAsia"/>
        </w:rPr>
        <w:t>年台內地字第</w:t>
      </w:r>
      <w:r>
        <w:rPr>
          <w:rFonts w:ascii="Times New Roman" w:eastAsia="Times New Roman" w:hAnsi="Times New Roman" w:cs="Times New Roman"/>
        </w:rPr>
        <w:t>8811978</w:t>
      </w:r>
      <w:r>
        <w:rPr>
          <w:rFonts w:ascii="新細明體" w:eastAsia="新細明體" w:hAnsi="新細明體" w:cs="新細明體" w:hint="eastAsia"/>
        </w:rPr>
        <w:t>號函。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(3)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法律條文：民法第</w:t>
      </w:r>
      <w:r>
        <w:rPr>
          <w:rFonts w:ascii="Times New Roman" w:eastAsia="Times New Roman" w:hAnsi="Times New Roman" w:cs="Times New Roman"/>
        </w:rPr>
        <w:t>976</w:t>
      </w:r>
      <w:r>
        <w:rPr>
          <w:rFonts w:ascii="新細明體" w:eastAsia="新細明體" w:hAnsi="新細明體" w:cs="新細明體" w:hint="eastAsia"/>
        </w:rPr>
        <w:t>條第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 w:hint="eastAsia"/>
        </w:rPr>
        <w:t>項第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 w:hint="eastAsia"/>
        </w:rPr>
        <w:t>款。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(4)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法院判決：最高行政法院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新細明體" w:eastAsia="新細明體" w:hAnsi="新細明體" w:cs="新細明體" w:hint="eastAsia"/>
        </w:rPr>
        <w:t>年判字第</w:t>
      </w:r>
      <w:r>
        <w:rPr>
          <w:rFonts w:ascii="Times New Roman" w:eastAsia="Times New Roman" w:hAnsi="Times New Roman" w:cs="Times New Roman"/>
        </w:rPr>
        <w:t>3900</w:t>
      </w:r>
      <w:r>
        <w:rPr>
          <w:rFonts w:ascii="新細明體" w:eastAsia="新細明體" w:hAnsi="新細明體" w:cs="新細明體" w:hint="eastAsia"/>
        </w:rPr>
        <w:t>號判例；最高行政法院</w:t>
      </w:r>
      <w:proofErr w:type="gramStart"/>
      <w:r>
        <w:rPr>
          <w:rFonts w:ascii="Times New Roman" w:eastAsia="Times New Roman" w:hAnsi="Times New Roman" w:cs="Times New Roman"/>
        </w:rPr>
        <w:t>94</w:t>
      </w:r>
      <w:r>
        <w:rPr>
          <w:rFonts w:ascii="新細明體" w:eastAsia="新細明體" w:hAnsi="新細明體" w:cs="新細明體" w:hint="eastAsia"/>
        </w:rPr>
        <w:t>年裁字第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新細明體" w:eastAsia="新細明體" w:hAnsi="新細明體" w:cs="新細明體" w:hint="eastAsia"/>
        </w:rPr>
        <w:t>號</w:t>
      </w:r>
      <w:proofErr w:type="gramEnd"/>
      <w:r>
        <w:rPr>
          <w:rFonts w:ascii="新細明體" w:eastAsia="新細明體" w:hAnsi="新細明體" w:cs="新細明體" w:hint="eastAsia"/>
        </w:rPr>
        <w:t>裁定；最高法院</w:t>
      </w:r>
      <w:r>
        <w:rPr>
          <w:rFonts w:ascii="Times New Roman" w:eastAsia="Times New Roman" w:hAnsi="Times New Roman" w:cs="Times New Roman"/>
        </w:rPr>
        <w:t>94</w:t>
      </w:r>
      <w:r>
        <w:rPr>
          <w:rFonts w:ascii="新細明體" w:eastAsia="新細明體" w:hAnsi="新細明體" w:cs="新細明體" w:hint="eastAsia"/>
        </w:rPr>
        <w:t>年台上字第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新細明體" w:eastAsia="新細明體" w:hAnsi="新細明體" w:cs="新細明體" w:hint="eastAsia"/>
        </w:rPr>
        <w:t>號民事判決；最高法院</w:t>
      </w:r>
      <w:r>
        <w:rPr>
          <w:rFonts w:ascii="Times New Roman" w:eastAsia="Times New Roman" w:hAnsi="Times New Roman" w:cs="Times New Roman"/>
        </w:rPr>
        <w:t>91</w:t>
      </w:r>
      <w:r>
        <w:rPr>
          <w:rFonts w:ascii="新細明體" w:eastAsia="新細明體" w:hAnsi="新細明體" w:cs="新細明體" w:hint="eastAsia"/>
        </w:rPr>
        <w:t>年台上字第</w:t>
      </w:r>
      <w:r>
        <w:rPr>
          <w:rFonts w:ascii="Times New Roman" w:eastAsia="Times New Roman" w:hAnsi="Times New Roman" w:cs="Times New Roman"/>
        </w:rPr>
        <w:t>812</w:t>
      </w:r>
      <w:r>
        <w:rPr>
          <w:rFonts w:ascii="新細明體" w:eastAsia="新細明體" w:hAnsi="新細明體" w:cs="新細明體" w:hint="eastAsia"/>
        </w:rPr>
        <w:t>號民事判例；最高法院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新細明體" w:eastAsia="新細明體" w:hAnsi="新細明體" w:cs="新細明體" w:hint="eastAsia"/>
        </w:rPr>
        <w:t>年台上字第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新細明體" w:eastAsia="新細明體" w:hAnsi="新細明體" w:cs="新細明體" w:hint="eastAsia"/>
        </w:rPr>
        <w:t>號刑事判決；最高法院</w:t>
      </w:r>
      <w:r>
        <w:rPr>
          <w:rFonts w:ascii="Times New Roman" w:eastAsia="Times New Roman" w:hAnsi="Times New Roman" w:cs="Times New Roman"/>
        </w:rPr>
        <w:t>93</w:t>
      </w:r>
      <w:r>
        <w:rPr>
          <w:rFonts w:ascii="新細明體" w:eastAsia="新細明體" w:hAnsi="新細明體" w:cs="新細明體" w:hint="eastAsia"/>
        </w:rPr>
        <w:t>年台上字第</w:t>
      </w:r>
      <w:r>
        <w:rPr>
          <w:rFonts w:ascii="Times New Roman" w:eastAsia="Times New Roman" w:hAnsi="Times New Roman" w:cs="Times New Roman"/>
        </w:rPr>
        <w:t>664</w:t>
      </w:r>
      <w:r>
        <w:rPr>
          <w:rFonts w:ascii="新細明體" w:eastAsia="新細明體" w:hAnsi="新細明體" w:cs="新細明體" w:hint="eastAsia"/>
        </w:rPr>
        <w:t>號刑事判例。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(5)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法院決議：最高法院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新細明體" w:eastAsia="新細明體" w:hAnsi="新細明體" w:cs="新細明體" w:hint="eastAsia"/>
        </w:rPr>
        <w:t>月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新細明體" w:eastAsia="新細明體" w:hAnsi="新細明體" w:cs="新細明體" w:hint="eastAsia"/>
        </w:rPr>
        <w:t>日，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新細明體" w:eastAsia="新細明體" w:hAnsi="新細明體" w:cs="新細明體" w:hint="eastAsia"/>
        </w:rPr>
        <w:t>年度第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新細明體" w:eastAsia="新細明體" w:hAnsi="新細明體" w:cs="新細明體" w:hint="eastAsia"/>
        </w:rPr>
        <w:t>次刑事庭決議。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(6)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引據外國法律條文和判決時，請依各該國習慣。</w:t>
      </w:r>
    </w:p>
    <w:p w:rsidR="005F0CD1" w:rsidRDefault="005F0CD1" w:rsidP="005F0CD1">
      <w:pPr>
        <w:spacing w:line="360" w:lineRule="auto"/>
        <w:ind w:left="1440"/>
      </w:pPr>
      <w:proofErr w:type="gramStart"/>
      <w:r>
        <w:rPr>
          <w:rFonts w:ascii="Times New Roman" w:eastAsia="Times New Roman" w:hAnsi="Times New Roman" w:cs="Times New Roman"/>
        </w:rPr>
        <w:t>BGB § 102 Administrative Procedure Act § 6, 5 U.S.C. § 555 (1994) 22 U.S.C. § 2567 (Supp.</w:t>
      </w:r>
      <w:proofErr w:type="gramEnd"/>
      <w:r>
        <w:rPr>
          <w:rFonts w:ascii="Times New Roman" w:eastAsia="Times New Roman" w:hAnsi="Times New Roman" w:cs="Times New Roman"/>
        </w:rPr>
        <w:t xml:space="preserve"> I 1983) United States v. </w:t>
      </w:r>
      <w:proofErr w:type="spellStart"/>
      <w:r>
        <w:rPr>
          <w:rFonts w:ascii="Times New Roman" w:eastAsia="Times New Roman" w:hAnsi="Times New Roman" w:cs="Times New Roman"/>
        </w:rPr>
        <w:t>Liss</w:t>
      </w:r>
      <w:proofErr w:type="spellEnd"/>
      <w:r>
        <w:rPr>
          <w:rFonts w:ascii="Times New Roman" w:eastAsia="Times New Roman" w:hAnsi="Times New Roman" w:cs="Times New Roman"/>
        </w:rPr>
        <w:t xml:space="preserve">, 137 F. 2d 995(2d Cir, 1943) Meritor </w:t>
      </w:r>
      <w:proofErr w:type="spellStart"/>
      <w:r>
        <w:rPr>
          <w:rFonts w:ascii="Times New Roman" w:eastAsia="Times New Roman" w:hAnsi="Times New Roman" w:cs="Times New Roman"/>
        </w:rPr>
        <w:t>Sav</w:t>
      </w:r>
      <w:proofErr w:type="spellEnd"/>
      <w:r>
        <w:rPr>
          <w:rFonts w:ascii="Times New Roman" w:eastAsia="Times New Roman" w:hAnsi="Times New Roman" w:cs="Times New Roman"/>
        </w:rPr>
        <w:t>. Bank v. Vinson, 477 U.S. 57</w:t>
      </w:r>
      <w:proofErr w:type="gramStart"/>
      <w:r>
        <w:rPr>
          <w:rFonts w:ascii="Times New Roman" w:eastAsia="Times New Roman" w:hAnsi="Times New Roman" w:cs="Times New Roman"/>
        </w:rPr>
        <w:t>,60</w:t>
      </w:r>
      <w:proofErr w:type="gramEnd"/>
      <w:r>
        <w:rPr>
          <w:rFonts w:ascii="Times New Roman" w:eastAsia="Times New Roman" w:hAnsi="Times New Roman" w:cs="Times New Roman"/>
        </w:rPr>
        <w:t xml:space="preserve"> (1986)</w:t>
      </w:r>
    </w:p>
    <w:p w:rsidR="005F0CD1" w:rsidRDefault="005F0CD1" w:rsidP="005F0CD1">
      <w:pPr>
        <w:spacing w:line="360" w:lineRule="auto"/>
        <w:ind w:left="1440"/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其他資料：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(1)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報紙：聯合報，創建自由與公平之經濟秩序，</w:t>
      </w:r>
      <w:r>
        <w:rPr>
          <w:rFonts w:ascii="Times New Roman" w:eastAsia="Times New Roman" w:hAnsi="Times New Roman" w:cs="Times New Roman"/>
        </w:rPr>
        <w:t>1985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新細明體" w:eastAsia="新細明體" w:hAnsi="新細明體" w:cs="新細明體" w:hint="eastAsia"/>
        </w:rPr>
        <w:t>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 w:hint="eastAsia"/>
        </w:rPr>
        <w:t>日</w:t>
      </w:r>
      <w:r>
        <w:rPr>
          <w:rFonts w:ascii="Times New Roman" w:eastAsia="Times New Roman" w:hAnsi="Times New Roman" w:cs="Times New Roman"/>
        </w:rPr>
        <w:t>A2</w:t>
      </w:r>
      <w:r>
        <w:rPr>
          <w:rFonts w:ascii="新細明體" w:eastAsia="新細明體" w:hAnsi="新細明體" w:cs="新細明體" w:hint="eastAsia"/>
        </w:rPr>
        <w:lastRenderedPageBreak/>
        <w:t>版。</w:t>
      </w:r>
      <w:r>
        <w:rPr>
          <w:rFonts w:ascii="Times New Roman" w:eastAsia="Times New Roman" w:hAnsi="Times New Roman" w:cs="Times New Roman"/>
        </w:rPr>
        <w:t xml:space="preserve"> Ari L. Goldman, O’Connor Warns Politicians Risk Excommunication over Abortion, N.Y. TIMES, June 15, 1990, at A1.</w:t>
      </w:r>
    </w:p>
    <w:p w:rsidR="005F0CD1" w:rsidRDefault="005F0CD1" w:rsidP="005F0CD1">
      <w:pPr>
        <w:spacing w:line="360" w:lineRule="auto"/>
        <w:ind w:left="2160"/>
      </w:pPr>
      <w:r>
        <w:rPr>
          <w:rFonts w:ascii="Arial" w:eastAsia="Arial" w:hAnsi="Arial" w:cs="Arial"/>
        </w:rPr>
        <w:t>(2)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新細明體" w:eastAsia="新細明體" w:hAnsi="新細明體" w:cs="新細明體" w:hint="eastAsia"/>
        </w:rPr>
        <w:t>網路資料：</w:t>
      </w:r>
    </w:p>
    <w:p w:rsidR="005F0CD1" w:rsidRDefault="005F0CD1" w:rsidP="005F0CD1">
      <w:pPr>
        <w:spacing w:line="360" w:lineRule="auto"/>
        <w:ind w:left="2160"/>
      </w:pPr>
      <w:r>
        <w:rPr>
          <w:rFonts w:ascii="新細明體" w:eastAsia="新細明體" w:hAnsi="新細明體" w:cs="新細明體" w:hint="eastAsia"/>
        </w:rPr>
        <w:t>中文期刊文章：</w:t>
      </w:r>
    </w:p>
    <w:p w:rsidR="005F0CD1" w:rsidRDefault="005F0CD1" w:rsidP="005F0CD1">
      <w:pPr>
        <w:spacing w:line="360" w:lineRule="auto"/>
        <w:ind w:left="2160"/>
      </w:pPr>
      <w:r>
        <w:rPr>
          <w:rFonts w:ascii="新細明體" w:eastAsia="新細明體" w:hAnsi="新細明體" w:cs="新細明體" w:hint="eastAsia"/>
        </w:rPr>
        <w:t>郭玲惠，企業</w:t>
      </w:r>
      <w:proofErr w:type="gramStart"/>
      <w:r>
        <w:rPr>
          <w:rFonts w:ascii="新細明體" w:eastAsia="新細明體" w:hAnsi="新細明體" w:cs="新細明體" w:hint="eastAsia"/>
        </w:rPr>
        <w:t>併購中</w:t>
      </w:r>
      <w:proofErr w:type="gramEnd"/>
      <w:r>
        <w:rPr>
          <w:rFonts w:ascii="新細明體" w:eastAsia="新細明體" w:hAnsi="新細明體" w:cs="新細明體" w:hint="eastAsia"/>
        </w:rPr>
        <w:t>勞工權益之保障</w:t>
      </w:r>
      <w:proofErr w:type="gramStart"/>
      <w:r>
        <w:rPr>
          <w:rFonts w:ascii="Times New Roman" w:eastAsia="Times New Roman" w:hAnsi="Times New Roman" w:cs="Times New Roman"/>
        </w:rPr>
        <w:t>—</w:t>
      </w:r>
      <w:proofErr w:type="gramEnd"/>
      <w:r>
        <w:rPr>
          <w:rFonts w:ascii="新細明體" w:eastAsia="新細明體" w:hAnsi="新細明體" w:cs="新細明體" w:hint="eastAsia"/>
        </w:rPr>
        <w:t>以個別勞動關係為核心，</w:t>
      </w:r>
      <w:r>
        <w:rPr>
          <w:rFonts w:ascii="Times New Roman" w:eastAsia="Times New Roman" w:hAnsi="Times New Roman" w:cs="Times New Roman"/>
        </w:rPr>
        <w:t>57</w:t>
      </w:r>
      <w:proofErr w:type="gramStart"/>
      <w:r>
        <w:rPr>
          <w:rFonts w:ascii="新細明體" w:eastAsia="新細明體" w:hAnsi="新細明體" w:cs="新細明體" w:hint="eastAsia"/>
        </w:rPr>
        <w:t>期頁</w:t>
      </w:r>
      <w:proofErr w:type="gramEnd"/>
      <w:r>
        <w:rPr>
          <w:rFonts w:ascii="Times New Roman" w:eastAsia="Times New Roman" w:hAnsi="Times New Roman" w:cs="Times New Roman"/>
        </w:rPr>
        <w:t>45</w:t>
      </w:r>
      <w:r>
        <w:rPr>
          <w:rFonts w:ascii="新細明體" w:eastAsia="新細明體" w:hAnsi="新細明體" w:cs="新細明體" w:hint="eastAsia"/>
        </w:rPr>
        <w:t>以下，可參見網路資料庫</w:t>
      </w:r>
      <w:r>
        <w:rPr>
          <w:rFonts w:ascii="Times New Roman" w:eastAsia="Times New Roman" w:hAnsi="Times New Roman" w:cs="Times New Roman"/>
        </w:rPr>
        <w:t>http://readopac3.ncl.edu.tw/ncl3/detail_result.jsp?la=c&amp;data_num=97&amp;item0=27&amp;id0=0005768486&amp;check_num=1</w:t>
      </w:r>
    </w:p>
    <w:p w:rsidR="005F0CD1" w:rsidRDefault="005F0CD1" w:rsidP="005F0CD1">
      <w:pPr>
        <w:spacing w:line="360" w:lineRule="auto"/>
        <w:ind w:left="2160"/>
      </w:pPr>
      <w:r>
        <w:rPr>
          <w:rFonts w:ascii="新細明體" w:eastAsia="新細明體" w:hAnsi="新細明體" w:cs="新細明體" w:hint="eastAsia"/>
        </w:rPr>
        <w:t>一般資料：</w:t>
      </w:r>
    </w:p>
    <w:p w:rsidR="005F0CD1" w:rsidRDefault="005F0CD1" w:rsidP="005F0CD1">
      <w:pPr>
        <w:spacing w:line="360" w:lineRule="auto"/>
        <w:ind w:left="2160"/>
      </w:pPr>
      <w:r>
        <w:rPr>
          <w:rFonts w:ascii="Times New Roman" w:eastAsia="Times New Roman" w:hAnsi="Times New Roman" w:cs="Times New Roman"/>
        </w:rPr>
        <w:t>http://www.ntpu.edu.tw/</w:t>
      </w:r>
      <w:r>
        <w:rPr>
          <w:rFonts w:ascii="新細明體" w:eastAsia="新細明體" w:hAnsi="新細明體" w:cs="新細明體" w:hint="eastAsia"/>
        </w:rPr>
        <w:t>，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新細明體" w:eastAsia="新細明體" w:hAnsi="新細明體" w:cs="新細明體" w:hint="eastAsia"/>
        </w:rPr>
        <w:t>年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新細明體" w:eastAsia="新細明體" w:hAnsi="新細明體" w:cs="新細明體" w:hint="eastAsia"/>
        </w:rPr>
        <w:t>月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新細明體" w:eastAsia="新細明體" w:hAnsi="新細明體" w:cs="新細明體" w:hint="eastAsia"/>
        </w:rPr>
        <w:t>日。</w:t>
      </w:r>
    </w:p>
    <w:p w:rsidR="005F0CD1" w:rsidRDefault="005F0CD1" w:rsidP="005F0CD1">
      <w:pPr>
        <w:spacing w:line="360" w:lineRule="auto"/>
        <w:ind w:left="2160"/>
      </w:pPr>
      <w:r>
        <w:rPr>
          <w:rFonts w:ascii="新細明體" w:eastAsia="新細明體" w:hAnsi="新細明體" w:cs="新細明體" w:hint="eastAsia"/>
        </w:rPr>
        <w:t>英文期刊資料：</w:t>
      </w:r>
    </w:p>
    <w:p w:rsidR="005F0CD1" w:rsidRDefault="005F0CD1" w:rsidP="005F0CD1">
      <w:pPr>
        <w:spacing w:line="360" w:lineRule="auto"/>
        <w:ind w:left="2160"/>
      </w:pPr>
      <w:r>
        <w:rPr>
          <w:rFonts w:ascii="新細明體" w:eastAsia="新細明體" w:hAnsi="新細明體" w:cs="新細明體" w:hint="eastAsia"/>
        </w:rPr>
        <w:t>若某一資料同時有印刷版與網路版存在時，而作者引用網路資料，請以下述格式引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：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Am. Mining Cong. v. U.S. Army Corps of </w:t>
      </w:r>
      <w:proofErr w:type="spellStart"/>
      <w:r>
        <w:rPr>
          <w:rFonts w:ascii="Times New Roman" w:eastAsia="Times New Roman" w:hAnsi="Times New Roman" w:cs="Times New Roman"/>
        </w:rPr>
        <w:t>Eng’rs</w:t>
      </w:r>
      <w:proofErr w:type="spellEnd"/>
      <w:r>
        <w:rPr>
          <w:rFonts w:ascii="Times New Roman" w:eastAsia="Times New Roman" w:hAnsi="Times New Roman" w:cs="Times New Roman"/>
        </w:rPr>
        <w:t>, No.</w:t>
      </w:r>
      <w:proofErr w:type="gramEnd"/>
      <w:r>
        <w:rPr>
          <w:rFonts w:ascii="Times New Roman" w:eastAsia="Times New Roman" w:hAnsi="Times New Roman" w:cs="Times New Roman"/>
        </w:rPr>
        <w:t xml:space="preserve"> CIV.A.93-1754-SSH (D.D.C.Jan.23, 1997), available at http://www.wetlands.com/fed/tullochl.html, latest visit </w:t>
      </w:r>
      <w:r>
        <w:rPr>
          <w:rFonts w:ascii="新細明體" w:eastAsia="新細明體" w:hAnsi="新細明體" w:cs="新細明體" w:hint="eastAsia"/>
        </w:rPr>
        <w:t>日期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新細明體" w:eastAsia="新細明體" w:hAnsi="新細明體" w:cs="新細明體" w:hint="eastAsia"/>
        </w:rPr>
        <w:t>若作者所引用之某一資料僅存在於網路者，請以下述格式引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：</w:t>
      </w:r>
      <w:r>
        <w:rPr>
          <w:rFonts w:ascii="Times New Roman" w:eastAsia="Times New Roman" w:hAnsi="Times New Roman" w:cs="Times New Roman"/>
        </w:rPr>
        <w:t xml:space="preserve"> J.T. </w:t>
      </w:r>
      <w:proofErr w:type="spellStart"/>
      <w:r>
        <w:rPr>
          <w:rFonts w:ascii="Times New Roman" w:eastAsia="Times New Roman" w:hAnsi="Times New Roman" w:cs="Times New Roman"/>
        </w:rPr>
        <w:t>Westermeier</w:t>
      </w:r>
      <w:proofErr w:type="spellEnd"/>
      <w:r>
        <w:rPr>
          <w:rFonts w:ascii="Times New Roman" w:eastAsia="Times New Roman" w:hAnsi="Times New Roman" w:cs="Times New Roman"/>
        </w:rPr>
        <w:t xml:space="preserve">, Ethical Issues for Lawyers on the Internet and World Wide Web, 6 RICH. </w:t>
      </w:r>
      <w:proofErr w:type="gramStart"/>
      <w:r>
        <w:rPr>
          <w:rFonts w:ascii="Times New Roman" w:eastAsia="Times New Roman" w:hAnsi="Times New Roman" w:cs="Times New Roman"/>
        </w:rPr>
        <w:t xml:space="preserve">J. L &amp; TECH. 5, ¶ 7(1999), at http://www.richmond.edu/jolt/v6il/westermeier.html, latest visit </w:t>
      </w:r>
      <w:r>
        <w:rPr>
          <w:rFonts w:ascii="新細明體" w:eastAsia="新細明體" w:hAnsi="新細明體" w:cs="新細明體" w:hint="eastAsia"/>
        </w:rPr>
        <w:t>日期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5F0CD1" w:rsidRDefault="005F0CD1" w:rsidP="005F0CD1">
      <w:pPr>
        <w:spacing w:line="360" w:lineRule="auto"/>
      </w:pPr>
      <w:r>
        <w:rPr>
          <w:rFonts w:ascii="新細明體" w:eastAsia="新細明體" w:hAnsi="新細明體" w:cs="新細明體" w:hint="eastAsia"/>
        </w:rPr>
        <w:t>五、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rPr>
          <w:rFonts w:ascii="新細明體" w:eastAsia="新細明體" w:hAnsi="新細明體" w:cs="新細明體" w:hint="eastAsia"/>
        </w:rPr>
        <w:t>參考文獻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proofErr w:type="gramStart"/>
      <w:r>
        <w:rPr>
          <w:rFonts w:ascii="細明體" w:eastAsia="細明體" w:hAnsi="細明體" w:cs="細明體" w:hint="eastAsia"/>
        </w:rPr>
        <w:t>一</w:t>
      </w:r>
      <w:proofErr w:type="gramEnd"/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為利讀者查詢相關資料，請作者將所有正文與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釋中援引過的書籍及期刊參考文獻，列於文稿後。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二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不加編號，中日文參考文獻在前，其他外文在後，以作者姓氏筆劃數或姓氏字母排列順序。若同一作者有多項參考文獻時，請依年代先後順序排列。</w:t>
      </w:r>
    </w:p>
    <w:p w:rsidR="005F0CD1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三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參考文獻書寫方式與引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格式同，中日文參考文獻無須加</w:t>
      </w:r>
      <w:proofErr w:type="gramStart"/>
      <w:r>
        <w:rPr>
          <w:rFonts w:ascii="新細明體" w:eastAsia="新細明體" w:hAnsi="新細明體" w:cs="新細明體" w:hint="eastAsia"/>
        </w:rPr>
        <w:t>註</w:t>
      </w:r>
      <w:proofErr w:type="gramEnd"/>
      <w:r>
        <w:rPr>
          <w:rFonts w:ascii="新細明體" w:eastAsia="新細明體" w:hAnsi="新細明體" w:cs="新細明體" w:hint="eastAsia"/>
        </w:rPr>
        <w:t>頁數，其他外文專書論文及期刊參考文獻應加</w:t>
      </w:r>
      <w:proofErr w:type="gramStart"/>
      <w:r>
        <w:rPr>
          <w:rFonts w:ascii="新細明體" w:eastAsia="新細明體" w:hAnsi="新細明體" w:cs="新細明體" w:hint="eastAsia"/>
        </w:rPr>
        <w:t>註起迄</w:t>
      </w:r>
      <w:proofErr w:type="gramEnd"/>
      <w:r>
        <w:rPr>
          <w:rFonts w:ascii="新細明體" w:eastAsia="新細明體" w:hAnsi="新細明體" w:cs="新細明體" w:hint="eastAsia"/>
        </w:rPr>
        <w:t>頁數。</w:t>
      </w:r>
    </w:p>
    <w:p w:rsidR="005F0CD1" w:rsidRPr="003A48C7" w:rsidRDefault="005F0CD1" w:rsidP="005F0CD1">
      <w:pPr>
        <w:spacing w:line="360" w:lineRule="auto"/>
        <w:ind w:left="720"/>
      </w:pPr>
      <w:r>
        <w:rPr>
          <w:rFonts w:ascii="Arial" w:eastAsia="Arial" w:hAnsi="Arial" w:cs="Arial"/>
        </w:rPr>
        <w:t>(</w:t>
      </w:r>
      <w:r>
        <w:rPr>
          <w:rFonts w:ascii="細明體" w:eastAsia="細明體" w:hAnsi="細明體" w:cs="細明體" w:hint="eastAsia"/>
        </w:rPr>
        <w:t>四</w:t>
      </w:r>
      <w:r>
        <w:rPr>
          <w:rFonts w:ascii="Arial" w:eastAsia="Arial" w:hAnsi="Arial" w:cs="Arial"/>
        </w:rPr>
        <w:t>)</w:t>
      </w:r>
      <w:r>
        <w:rPr>
          <w:rFonts w:ascii="Times New Roman" w:eastAsia="Times New Roman" w:hAnsi="Times New Roman" w:cs="Times New Roman"/>
          <w:sz w:val="14"/>
        </w:rPr>
        <w:t xml:space="preserve">          </w:t>
      </w:r>
      <w:r>
        <w:rPr>
          <w:rFonts w:ascii="新細明體" w:eastAsia="新細明體" w:hAnsi="新細明體" w:cs="新細明體" w:hint="eastAsia"/>
        </w:rPr>
        <w:t>年代一律以西元年代，並以逗號將作者、</w:t>
      </w:r>
      <w:proofErr w:type="gramStart"/>
      <w:r>
        <w:rPr>
          <w:rFonts w:ascii="新細明體" w:eastAsia="新細明體" w:hAnsi="新細明體" w:cs="新細明體" w:hint="eastAsia"/>
        </w:rPr>
        <w:t>書名或篇名</w:t>
      </w:r>
      <w:proofErr w:type="gramEnd"/>
      <w:r>
        <w:rPr>
          <w:rFonts w:ascii="新細明體" w:eastAsia="新細明體" w:hAnsi="新細明體" w:cs="新細明體" w:hint="eastAsia"/>
        </w:rPr>
        <w:t>、出版資訊等分開。</w:t>
      </w:r>
    </w:p>
    <w:p w:rsidR="007D54D5" w:rsidRPr="005F0CD1" w:rsidRDefault="007D54D5"/>
    <w:sectPr w:rsidR="007D54D5" w:rsidRPr="005F0CD1">
      <w:pgSz w:w="11906" w:h="16838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1"/>
    <w:rsid w:val="005F0CD1"/>
    <w:rsid w:val="007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D1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CD1"/>
    <w:pPr>
      <w:widowControl w:val="0"/>
    </w:pPr>
    <w:rPr>
      <w:rFonts w:ascii="Calibri" w:hAnsi="Calibri" w:cs="Calibri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2014-12-10T06:18:00Z</dcterms:created>
  <dcterms:modified xsi:type="dcterms:W3CDTF">2014-12-10T06:19:00Z</dcterms:modified>
</cp:coreProperties>
</file>